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3959CF" w:rsidRPr="003959CF" w:rsidRDefault="003959CF" w:rsidP="003959CF">
      <w:pPr>
        <w:shd w:val="clear" w:color="auto" w:fill="FFFFFF"/>
        <w:spacing w:before="0" w:beforeAutospacing="0" w:after="105" w:afterAutospacing="0" w:line="450" w:lineRule="atLeast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36"/>
          <w:sz w:val="28"/>
          <w:szCs w:val="28"/>
        </w:rPr>
        <w:t>O</w:t>
      </w:r>
      <w:r w:rsidRPr="003959CF">
        <w:rPr>
          <w:rFonts w:asciiTheme="minorHAnsi" w:hAnsiTheme="minorHAnsi" w:cstheme="minorHAnsi"/>
          <w:b/>
          <w:bCs/>
          <w:kern w:val="36"/>
          <w:sz w:val="28"/>
          <w:szCs w:val="28"/>
        </w:rPr>
        <w:t>d 1 kwietnia ZUS będzie korzystał z nowych tablic GUS</w:t>
      </w:r>
    </w:p>
    <w:p w:rsidR="003959CF" w:rsidRPr="003959CF" w:rsidRDefault="003959CF" w:rsidP="003959CF">
      <w:p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Cs w:val="24"/>
        </w:rPr>
      </w:pPr>
      <w:r w:rsidRPr="003959CF">
        <w:rPr>
          <w:rFonts w:asciiTheme="minorHAnsi" w:hAnsiTheme="minorHAnsi" w:cstheme="minorHAnsi"/>
          <w:b/>
          <w:bCs/>
          <w:szCs w:val="24"/>
        </w:rPr>
        <w:t>Od 1 kwietnia br. ZUS będzie korzystał z nowych tablic średniego dalszego trwania życia, ogłoszonych przez Główny Urząd Statystyczny. Co do zasady nie dotyczą one osób, które już przeszły na emeryturę.</w:t>
      </w:r>
    </w:p>
    <w:p w:rsidR="003959CF" w:rsidRPr="003959CF" w:rsidRDefault="003959CF" w:rsidP="003959CF">
      <w:pPr>
        <w:spacing w:before="0" w:beforeAutospacing="0" w:after="150" w:afterAutospacing="0"/>
        <w:rPr>
          <w:rFonts w:asciiTheme="minorHAnsi" w:hAnsiTheme="minorHAnsi" w:cstheme="minorHAnsi"/>
          <w:color w:val="auto"/>
          <w:szCs w:val="24"/>
        </w:rPr>
      </w:pPr>
      <w:r w:rsidRPr="003959CF">
        <w:rPr>
          <w:rFonts w:asciiTheme="minorHAnsi" w:hAnsiTheme="minorHAnsi" w:cstheme="minorHAnsi"/>
          <w:color w:val="auto"/>
          <w:szCs w:val="24"/>
        </w:rPr>
        <w:t xml:space="preserve">GUS opublikował nową tablicę trwania życia na podstawie danych o śmiertelności za 2022 r. Wynika z nich, że w ubiegłym roku odnotowano 447 tys. zgonów, czyli mniej o 72 tys. w stosunku do 2021 r. (519 tys.), a także mniej o 39 tys. niż w 2020 r. (486 tys.). Zgonów było jednak więcej o 39 tys. niż w 2019 r. (408 tys.), czyli ostatnim </w:t>
      </w:r>
      <w:proofErr w:type="spellStart"/>
      <w:r w:rsidRPr="003959CF">
        <w:rPr>
          <w:rFonts w:asciiTheme="minorHAnsi" w:hAnsiTheme="minorHAnsi" w:cstheme="minorHAnsi"/>
          <w:color w:val="auto"/>
          <w:szCs w:val="24"/>
        </w:rPr>
        <w:t>przedpandemicznym</w:t>
      </w:r>
      <w:proofErr w:type="spellEnd"/>
      <w:r w:rsidRPr="003959CF">
        <w:rPr>
          <w:rFonts w:asciiTheme="minorHAnsi" w:hAnsiTheme="minorHAnsi" w:cstheme="minorHAnsi"/>
          <w:color w:val="auto"/>
          <w:szCs w:val="24"/>
        </w:rPr>
        <w:t xml:space="preserve"> roku.</w:t>
      </w:r>
    </w:p>
    <w:p w:rsidR="003959CF" w:rsidRPr="003959CF" w:rsidRDefault="003959CF" w:rsidP="003959CF">
      <w:pPr>
        <w:spacing w:before="0" w:beforeAutospacing="0" w:after="150" w:afterAutospacing="0"/>
        <w:rPr>
          <w:rFonts w:asciiTheme="minorHAnsi" w:hAnsiTheme="minorHAnsi" w:cstheme="minorHAnsi"/>
          <w:color w:val="auto"/>
          <w:szCs w:val="24"/>
        </w:rPr>
      </w:pPr>
      <w:r w:rsidRPr="003959CF">
        <w:rPr>
          <w:rFonts w:asciiTheme="minorHAnsi" w:hAnsiTheme="minorHAnsi" w:cstheme="minorHAnsi"/>
          <w:color w:val="auto"/>
          <w:szCs w:val="24"/>
        </w:rPr>
        <w:t>W porównaniu do zeszłorocznej tablicy GUS nastąpił wzrost średniego dalszego trwania życia we wszystkich przedziałach wiekowych, w tym o: 18,6 miesiąca dla 30-latków, 15,4 miesiąca dla 60-latków, 13,8 miesiąca dla 65-latków, 6,0 miesięcy dla 80-latków.</w:t>
      </w:r>
    </w:p>
    <w:p w:rsidR="003959CF" w:rsidRPr="003959CF" w:rsidRDefault="003959CF" w:rsidP="003959CF">
      <w:pPr>
        <w:spacing w:before="0" w:beforeAutospacing="0" w:after="150" w:afterAutospacing="0"/>
        <w:rPr>
          <w:rFonts w:asciiTheme="minorHAnsi" w:hAnsiTheme="minorHAnsi" w:cstheme="minorHAnsi"/>
          <w:color w:val="auto"/>
          <w:szCs w:val="24"/>
        </w:rPr>
      </w:pPr>
      <w:r w:rsidRPr="003959CF">
        <w:rPr>
          <w:rFonts w:asciiTheme="minorHAnsi" w:hAnsiTheme="minorHAnsi" w:cstheme="minorHAnsi"/>
          <w:color w:val="auto"/>
          <w:szCs w:val="24"/>
        </w:rPr>
        <w:t xml:space="preserve">Średnie dalsze trwanie życia jest jednak wciąż krótsze niż w ostatniej </w:t>
      </w:r>
      <w:proofErr w:type="spellStart"/>
      <w:r w:rsidRPr="003959CF">
        <w:rPr>
          <w:rFonts w:asciiTheme="minorHAnsi" w:hAnsiTheme="minorHAnsi" w:cstheme="minorHAnsi"/>
          <w:color w:val="auto"/>
          <w:szCs w:val="24"/>
        </w:rPr>
        <w:t>przedpandemicznej</w:t>
      </w:r>
      <w:proofErr w:type="spellEnd"/>
      <w:r w:rsidRPr="003959CF">
        <w:rPr>
          <w:rFonts w:asciiTheme="minorHAnsi" w:hAnsiTheme="minorHAnsi" w:cstheme="minorHAnsi"/>
          <w:color w:val="auto"/>
          <w:szCs w:val="24"/>
        </w:rPr>
        <w:t xml:space="preserve"> tablicy GUS, tj. z 2020 roku, która powstała na podstawie danych o śmiertelności w 2019 roku.</w:t>
      </w:r>
    </w:p>
    <w:p w:rsidR="003959CF" w:rsidRPr="003959CF" w:rsidRDefault="003959CF" w:rsidP="003959CF">
      <w:pPr>
        <w:spacing w:before="0" w:beforeAutospacing="0" w:after="150" w:afterAutospacing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Od</w:t>
      </w:r>
      <w:r w:rsidRPr="003959CF">
        <w:rPr>
          <w:rFonts w:asciiTheme="minorHAnsi" w:hAnsiTheme="minorHAnsi" w:cstheme="minorHAnsi"/>
          <w:color w:val="auto"/>
          <w:szCs w:val="24"/>
        </w:rPr>
        <w:t xml:space="preserve"> 1 kwietnia br. ZUS będzie korzystał z nowej tablicy GUS obliczając wysokość nowo przyznawanych emerytur</w:t>
      </w:r>
      <w:r>
        <w:rPr>
          <w:rFonts w:asciiTheme="minorHAnsi" w:hAnsiTheme="minorHAnsi" w:cstheme="minorHAnsi"/>
          <w:color w:val="auto"/>
          <w:szCs w:val="24"/>
        </w:rPr>
        <w:t xml:space="preserve">. </w:t>
      </w:r>
      <w:r w:rsidRPr="003959CF">
        <w:rPr>
          <w:rFonts w:asciiTheme="minorHAnsi" w:hAnsiTheme="minorHAnsi" w:cstheme="minorHAnsi"/>
          <w:color w:val="auto"/>
          <w:szCs w:val="24"/>
        </w:rPr>
        <w:t>Najnowsza tablica trwania życia pozwala obliczyć emeryturę osob</w:t>
      </w:r>
      <w:r>
        <w:rPr>
          <w:rFonts w:asciiTheme="minorHAnsi" w:hAnsiTheme="minorHAnsi" w:cstheme="minorHAnsi"/>
          <w:color w:val="auto"/>
          <w:szCs w:val="24"/>
        </w:rPr>
        <w:t>ie</w:t>
      </w:r>
      <w:r w:rsidRPr="003959CF">
        <w:rPr>
          <w:rFonts w:asciiTheme="minorHAnsi" w:hAnsiTheme="minorHAnsi" w:cstheme="minorHAnsi"/>
          <w:color w:val="auto"/>
          <w:szCs w:val="24"/>
        </w:rPr>
        <w:t xml:space="preserve"> w wieku 60 lat niższą o 6,1 proc., a osob</w:t>
      </w:r>
      <w:r>
        <w:rPr>
          <w:rFonts w:asciiTheme="minorHAnsi" w:hAnsiTheme="minorHAnsi" w:cstheme="minorHAnsi"/>
          <w:color w:val="auto"/>
          <w:szCs w:val="24"/>
        </w:rPr>
        <w:t>ie</w:t>
      </w:r>
      <w:r w:rsidRPr="003959CF">
        <w:rPr>
          <w:rFonts w:asciiTheme="minorHAnsi" w:hAnsiTheme="minorHAnsi" w:cstheme="minorHAnsi"/>
          <w:color w:val="auto"/>
          <w:szCs w:val="24"/>
        </w:rPr>
        <w:t xml:space="preserve"> w wieku 65 lat – o 6,6 proc. niż na podstawie poprzedniej tablicy.</w:t>
      </w:r>
    </w:p>
    <w:p w:rsidR="003959CF" w:rsidRPr="003959CF" w:rsidRDefault="003959CF" w:rsidP="003959CF">
      <w:pPr>
        <w:spacing w:before="0" w:beforeAutospacing="0" w:after="150" w:afterAutospacing="0"/>
        <w:rPr>
          <w:rFonts w:asciiTheme="minorHAnsi" w:hAnsiTheme="minorHAnsi" w:cstheme="minorHAnsi"/>
          <w:color w:val="auto"/>
          <w:szCs w:val="24"/>
        </w:rPr>
      </w:pPr>
      <w:r w:rsidRPr="003959CF">
        <w:rPr>
          <w:rFonts w:asciiTheme="minorHAnsi" w:hAnsiTheme="minorHAnsi" w:cstheme="minorHAnsi"/>
          <w:color w:val="auto"/>
          <w:szCs w:val="24"/>
        </w:rPr>
        <w:t>Dla przykładu: 60-latka z kapitałem 500 tys. zł otrzyma emeryturę w kwocie 1966,18 zł, czyli mniejszej o ok. 127 zł (z uwagi na to, że kapitał zostanie podzielony przez 254,3 zamiast 238,9 miesięcy). Natomiast 65-latek z kapitałem 500 tys. zł otrzyma emeryturę w kwocie 2380,95 zł, czyli mniejszej o ok. 167 zł (z uwagi na to, że kapitał zostanie podzielony przez 210,0 zamiast 196,2 miesięcy). Tablica pozwala jednak na obliczenie wciąż wyższej emerytury niż przed pandemią o 2,8 proc. dla 60-latki oraz 3,6 proc. dla 65-latka.</w:t>
      </w:r>
    </w:p>
    <w:p w:rsidR="003959CF" w:rsidRPr="003959CF" w:rsidRDefault="003959CF" w:rsidP="003959CF">
      <w:pPr>
        <w:spacing w:before="0" w:beforeAutospacing="0" w:after="150" w:afterAutospacing="0"/>
        <w:rPr>
          <w:rFonts w:asciiTheme="minorHAnsi" w:hAnsiTheme="minorHAnsi" w:cstheme="minorHAnsi"/>
          <w:color w:val="auto"/>
          <w:szCs w:val="24"/>
        </w:rPr>
      </w:pPr>
      <w:r w:rsidRPr="003959CF">
        <w:rPr>
          <w:rFonts w:asciiTheme="minorHAnsi" w:hAnsiTheme="minorHAnsi" w:cstheme="minorHAnsi"/>
          <w:color w:val="auto"/>
          <w:szCs w:val="24"/>
        </w:rPr>
        <w:t>60-letnia kobieta z kapitałem 500 tys. zł może otrzymać więcej o ok. 54 zł niż na podstawie tablicy z 2020 r. (kapitał dzielony przez 254,3 zamiast 261,5 miesięcy), a 65-letni mężczyzna z tym samym kapitałem – więcej o ok. 83 zł (kapitał dzielony przez 210,0 zamiast 217,6 miesięcy).</w:t>
      </w:r>
    </w:p>
    <w:p w:rsidR="003959CF" w:rsidRPr="003959CF" w:rsidRDefault="003959CF" w:rsidP="003959CF">
      <w:pPr>
        <w:spacing w:before="0" w:beforeAutospacing="0" w:after="150" w:afterAutospacing="0"/>
        <w:rPr>
          <w:rFonts w:asciiTheme="minorHAnsi" w:hAnsiTheme="minorHAnsi" w:cstheme="minorHAnsi"/>
          <w:color w:val="auto"/>
          <w:szCs w:val="24"/>
        </w:rPr>
      </w:pPr>
      <w:r w:rsidRPr="003959CF">
        <w:rPr>
          <w:rFonts w:asciiTheme="minorHAnsi" w:hAnsiTheme="minorHAnsi" w:cstheme="minorHAnsi"/>
          <w:color w:val="auto"/>
          <w:szCs w:val="24"/>
        </w:rPr>
        <w:t>Co do zasady nowe tablice nie dotyczą osób, które już przeszły na emeryturę.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  <w:r w:rsidRPr="003959CF">
        <w:rPr>
          <w:rFonts w:asciiTheme="minorHAnsi" w:hAnsiTheme="minorHAnsi" w:cstheme="minorHAnsi"/>
          <w:color w:val="auto"/>
          <w:szCs w:val="24"/>
        </w:rPr>
        <w:t>Przeliczenie świadczenie jest możliwe w ściśle określonych sytuacjach np., gdy emeryt po przyznaniu świadczenia pracował i odprowadzał składki emerytalne.</w:t>
      </w:r>
    </w:p>
    <w:p w:rsidR="003959CF" w:rsidRDefault="003959CF" w:rsidP="003959CF">
      <w:pPr>
        <w:spacing w:before="0" w:beforeAutospacing="0" w:after="150" w:afterAutospacing="0"/>
        <w:rPr>
          <w:rFonts w:asciiTheme="minorHAnsi" w:hAnsiTheme="minorHAnsi" w:cstheme="minorHAnsi"/>
          <w:color w:val="auto"/>
          <w:szCs w:val="24"/>
        </w:rPr>
      </w:pPr>
      <w:r w:rsidRPr="003959CF">
        <w:rPr>
          <w:rFonts w:asciiTheme="minorHAnsi" w:hAnsiTheme="minorHAnsi" w:cstheme="minorHAnsi"/>
          <w:color w:val="auto"/>
          <w:szCs w:val="24"/>
        </w:rPr>
        <w:t xml:space="preserve">Raz na rok lub po ustaniu zatrudnienia </w:t>
      </w:r>
      <w:r>
        <w:rPr>
          <w:rFonts w:asciiTheme="minorHAnsi" w:hAnsiTheme="minorHAnsi" w:cstheme="minorHAnsi"/>
          <w:color w:val="auto"/>
          <w:szCs w:val="24"/>
        </w:rPr>
        <w:t xml:space="preserve">pracujący emeryt </w:t>
      </w:r>
      <w:r w:rsidRPr="003959CF">
        <w:rPr>
          <w:rFonts w:asciiTheme="minorHAnsi" w:hAnsiTheme="minorHAnsi" w:cstheme="minorHAnsi"/>
          <w:color w:val="auto"/>
          <w:szCs w:val="24"/>
        </w:rPr>
        <w:t>może je sobie doliczać do świadczenia. Jednak najnowsza tablica zostanie wykorzystana wyłącznie w odniesieniu do dodatkowych składek, a nie do całego świadczenia.</w:t>
      </w:r>
    </w:p>
    <w:p w:rsidR="003959CF" w:rsidRDefault="003959CF" w:rsidP="003959CF">
      <w:pPr>
        <w:spacing w:before="0" w:beforeAutospacing="0" w:after="150" w:afterAutospacing="0"/>
        <w:rPr>
          <w:rFonts w:asciiTheme="minorHAnsi" w:hAnsiTheme="minorHAnsi" w:cstheme="minorHAnsi"/>
          <w:color w:val="auto"/>
          <w:szCs w:val="24"/>
        </w:rPr>
      </w:pPr>
    </w:p>
    <w:p w:rsidR="003959CF" w:rsidRDefault="003959CF" w:rsidP="003959CF">
      <w:pPr>
        <w:spacing w:before="0" w:beforeAutospacing="0" w:after="150" w:afterAutospacing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Marlena Nowicka</w:t>
      </w:r>
    </w:p>
    <w:p w:rsidR="00A824C3" w:rsidRPr="003959CF" w:rsidRDefault="003959CF" w:rsidP="003959CF">
      <w:pPr>
        <w:spacing w:before="0" w:beforeAutospacing="0" w:after="150" w:afterAutospacing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rzeczniczka prasowa ZUS w Wielkopolsce</w:t>
      </w:r>
      <w:bookmarkStart w:id="0" w:name="_GoBack"/>
      <w:bookmarkEnd w:id="0"/>
    </w:p>
    <w:sectPr w:rsidR="00A824C3" w:rsidRPr="003959CF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89" w:rsidRDefault="00C62089">
      <w:pPr>
        <w:spacing w:before="0" w:after="0"/>
      </w:pPr>
      <w:r>
        <w:separator/>
      </w:r>
    </w:p>
  </w:endnote>
  <w:endnote w:type="continuationSeparator" w:id="0">
    <w:p w:rsidR="00C62089" w:rsidRDefault="00C620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959C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62089">
      <w:fldChar w:fldCharType="begin"/>
    </w:r>
    <w:r w:rsidR="00C62089">
      <w:instrText xml:space="preserve"> NUMPAGES  \* MERGEFORMAT </w:instrText>
    </w:r>
    <w:r w:rsidR="00C62089">
      <w:fldChar w:fldCharType="separate"/>
    </w:r>
    <w:r w:rsidR="003959CF" w:rsidRPr="003959CF">
      <w:rPr>
        <w:rStyle w:val="StopkastronyZnak"/>
        <w:noProof/>
      </w:rPr>
      <w:t>2</w:t>
    </w:r>
    <w:r w:rsidR="00C62089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89" w:rsidRDefault="00C62089">
      <w:pPr>
        <w:spacing w:before="0" w:after="0"/>
      </w:pPr>
      <w:r>
        <w:separator/>
      </w:r>
    </w:p>
  </w:footnote>
  <w:footnote w:type="continuationSeparator" w:id="0">
    <w:p w:rsidR="00C62089" w:rsidRDefault="00C620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204846"/>
    <w:rsid w:val="00286D95"/>
    <w:rsid w:val="002C0883"/>
    <w:rsid w:val="002C2B21"/>
    <w:rsid w:val="002F0C7F"/>
    <w:rsid w:val="00374BC5"/>
    <w:rsid w:val="003959CF"/>
    <w:rsid w:val="003D3155"/>
    <w:rsid w:val="003D799C"/>
    <w:rsid w:val="0046767C"/>
    <w:rsid w:val="00496F48"/>
    <w:rsid w:val="004A5E03"/>
    <w:rsid w:val="00592CB3"/>
    <w:rsid w:val="00595BDC"/>
    <w:rsid w:val="005E3DE3"/>
    <w:rsid w:val="005E683D"/>
    <w:rsid w:val="005F1081"/>
    <w:rsid w:val="005F7C0D"/>
    <w:rsid w:val="00604F06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91680F"/>
    <w:rsid w:val="0096435C"/>
    <w:rsid w:val="0099205E"/>
    <w:rsid w:val="009C7269"/>
    <w:rsid w:val="009F21B1"/>
    <w:rsid w:val="009F4D40"/>
    <w:rsid w:val="00A824C3"/>
    <w:rsid w:val="00A93999"/>
    <w:rsid w:val="00AA1F4F"/>
    <w:rsid w:val="00AD7739"/>
    <w:rsid w:val="00B2109E"/>
    <w:rsid w:val="00B27706"/>
    <w:rsid w:val="00B316E3"/>
    <w:rsid w:val="00BD516C"/>
    <w:rsid w:val="00C0484C"/>
    <w:rsid w:val="00C143E6"/>
    <w:rsid w:val="00C62089"/>
    <w:rsid w:val="00CA5BB6"/>
    <w:rsid w:val="00CC79C7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2023-03-29T12:03:00Z</dcterms:created>
  <dcterms:modified xsi:type="dcterms:W3CDTF">2023-03-29T12:03:00Z</dcterms:modified>
</cp:coreProperties>
</file>