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78C4" w:rsidRDefault="00EF3EAE" w:rsidP="00EF3EAE">
      <w:pPr>
        <w:pStyle w:val="Jednostka"/>
        <w:tabs>
          <w:tab w:val="left" w:pos="6315"/>
          <w:tab w:val="right" w:pos="8958"/>
        </w:tabs>
        <w:rPr>
          <w:b/>
          <w:sz w:val="24"/>
        </w:rPr>
      </w:pPr>
      <w:r>
        <w:rPr>
          <w:color w:val="000000"/>
        </w:rPr>
        <w:tab/>
      </w:r>
      <w:r>
        <w:rPr>
          <w:color w:val="000000"/>
        </w:rPr>
        <w:tab/>
      </w:r>
      <w:r w:rsidR="00D36A83">
        <w:rPr>
          <w:noProof/>
        </w:rPr>
        <w:drawing>
          <wp:anchor distT="0" distB="0" distL="114300" distR="114300" simplePos="0" relativeHeight="2" behindDoc="0" locked="0" layoutInCell="0" allowOverlap="0" wp14:anchorId="124D3919" wp14:editId="379439C4">
            <wp:simplePos x="0" y="0"/>
            <wp:positionH relativeFrom="column">
              <wp:posOffset>-700405</wp:posOffset>
            </wp:positionH>
            <wp:positionV relativeFrom="paragraph">
              <wp:posOffset>8255</wp:posOffset>
            </wp:positionV>
            <wp:extent cx="1358900" cy="32258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stretch>
                      <a:fillRect/>
                    </a:stretch>
                  </pic:blipFill>
                  <pic:spPr>
                    <a:xfrm>
                      <a:off x="0" y="0"/>
                      <a:ext cx="1358900" cy="322580"/>
                    </a:xfrm>
                    <a:prstGeom prst="rect">
                      <a:avLst/>
                    </a:prstGeom>
                  </pic:spPr>
                </pic:pic>
              </a:graphicData>
            </a:graphic>
          </wp:anchor>
        </w:drawing>
      </w:r>
    </w:p>
    <w:p w:rsidR="00D978C4" w:rsidRDefault="00D978C4">
      <w:pPr>
        <w:pStyle w:val="Jednostka"/>
        <w:rPr>
          <w:b/>
          <w:sz w:val="28"/>
        </w:rPr>
      </w:pPr>
    </w:p>
    <w:p w:rsidR="00D857BF" w:rsidRPr="003D3155" w:rsidRDefault="005E683D" w:rsidP="003D3155">
      <w:pPr>
        <w:pStyle w:val="Jednostka"/>
      </w:pPr>
      <w:r>
        <w:t>Informacja prasowa</w:t>
      </w:r>
    </w:p>
    <w:p w:rsidR="00E17444" w:rsidRPr="007C642F" w:rsidRDefault="00E17444" w:rsidP="007C642F">
      <w:pPr>
        <w:shd w:val="clear" w:color="auto" w:fill="FFFFFF"/>
        <w:spacing w:before="0" w:beforeAutospacing="0" w:after="0" w:afterAutospacing="0"/>
        <w:outlineLvl w:val="0"/>
        <w:rPr>
          <w:rFonts w:asciiTheme="minorHAnsi" w:hAnsiTheme="minorHAnsi" w:cs="Helvetica"/>
          <w:kern w:val="36"/>
          <w:sz w:val="22"/>
          <w:szCs w:val="22"/>
        </w:rPr>
      </w:pPr>
    </w:p>
    <w:p w:rsidR="00DD27AC" w:rsidRPr="00DD27AC" w:rsidRDefault="00C33C68" w:rsidP="00DD27AC">
      <w:pPr>
        <w:spacing w:before="0" w:beforeAutospacing="0" w:after="240" w:afterAutospacing="0" w:line="276" w:lineRule="auto"/>
        <w:jc w:val="left"/>
        <w:rPr>
          <w:rFonts w:eastAsiaTheme="minorHAnsi" w:cs="Calibri"/>
          <w:b/>
          <w:bCs/>
          <w:color w:val="auto"/>
          <w:szCs w:val="24"/>
          <w:lang w:eastAsia="en-US"/>
        </w:rPr>
      </w:pPr>
      <w:r>
        <w:rPr>
          <w:rFonts w:eastAsiaTheme="minorHAnsi" w:cs="Calibri"/>
          <w:b/>
          <w:bCs/>
          <w:color w:val="auto"/>
          <w:szCs w:val="24"/>
          <w:lang w:eastAsia="en-US"/>
        </w:rPr>
        <w:t>Pierwsze czternastki jeszcze w sierpniu</w:t>
      </w:r>
    </w:p>
    <w:p w:rsidR="00DD27AC" w:rsidRPr="00DD27AC" w:rsidRDefault="00DD27AC" w:rsidP="00DD27AC">
      <w:pPr>
        <w:spacing w:before="0" w:beforeAutospacing="0" w:after="240" w:afterAutospacing="0" w:line="276" w:lineRule="auto"/>
        <w:jc w:val="left"/>
        <w:rPr>
          <w:rFonts w:eastAsiaTheme="minorHAnsi" w:cs="Calibri"/>
          <w:b/>
          <w:bCs/>
          <w:color w:val="auto"/>
          <w:szCs w:val="24"/>
          <w:lang w:eastAsia="en-US"/>
        </w:rPr>
      </w:pPr>
      <w:r w:rsidRPr="00DD27AC">
        <w:rPr>
          <w:rFonts w:eastAsiaTheme="minorHAnsi" w:cs="Calibri"/>
          <w:b/>
          <w:bCs/>
          <w:color w:val="auto"/>
          <w:szCs w:val="24"/>
          <w:lang w:eastAsia="en-US"/>
        </w:rPr>
        <w:t>Czternastka z Zakładu Ubezpieczeń Społecznych trafi na konta i do portfeli zdecydowanej większości emerytów i rencistów we wrześniu. Niektórzy seniorzy mogą spodziewać się jej nieco wcześniej, bo już pod koniec sierpnia.</w:t>
      </w:r>
    </w:p>
    <w:p w:rsidR="00DD27AC" w:rsidRPr="004C6A8C" w:rsidRDefault="00DD27AC" w:rsidP="00DD27AC">
      <w:pPr>
        <w:spacing w:before="0" w:beforeAutospacing="0" w:after="240" w:afterAutospacing="0" w:line="276" w:lineRule="auto"/>
        <w:jc w:val="left"/>
        <w:rPr>
          <w:rFonts w:eastAsiaTheme="minorHAnsi" w:cs="Calibri"/>
          <w:i/>
          <w:color w:val="auto"/>
          <w:szCs w:val="24"/>
          <w:lang w:eastAsia="en-US"/>
        </w:rPr>
      </w:pPr>
      <w:r w:rsidRPr="004C6A8C">
        <w:rPr>
          <w:rFonts w:eastAsiaTheme="minorHAnsi" w:cs="Calibri"/>
          <w:i/>
          <w:color w:val="auto"/>
          <w:szCs w:val="24"/>
          <w:lang w:eastAsia="en-US"/>
        </w:rPr>
        <w:t xml:space="preserve">ZUS wypłaci dodatkowe świadczenie z urzędu, czyli nie trzeba </w:t>
      </w:r>
      <w:r w:rsidR="004C6A8C" w:rsidRPr="004C6A8C">
        <w:rPr>
          <w:rFonts w:eastAsiaTheme="minorHAnsi" w:cs="Calibri"/>
          <w:i/>
          <w:color w:val="auto"/>
          <w:szCs w:val="24"/>
          <w:lang w:eastAsia="en-US"/>
        </w:rPr>
        <w:t>o nie składać żadnych wniosków</w:t>
      </w:r>
      <w:r w:rsidR="004C6A8C">
        <w:rPr>
          <w:rFonts w:eastAsiaTheme="minorHAnsi" w:cs="Calibri"/>
          <w:color w:val="auto"/>
          <w:szCs w:val="24"/>
          <w:lang w:eastAsia="en-US"/>
        </w:rPr>
        <w:t xml:space="preserve"> – zapewnia Marlena Nowicka – regionalna rzeczniczka prasowa ZUS w Wielkopolsce - </w:t>
      </w:r>
      <w:r w:rsidRPr="004C6A8C">
        <w:rPr>
          <w:rFonts w:eastAsiaTheme="minorHAnsi" w:cs="Calibri"/>
          <w:i/>
          <w:color w:val="auto"/>
          <w:szCs w:val="24"/>
          <w:lang w:eastAsia="en-US"/>
        </w:rPr>
        <w:t xml:space="preserve">Tegoroczna czternastka trafi do uprawnionych razem z emeryturami i rentami przysługującymi </w:t>
      </w:r>
      <w:r w:rsidRPr="004C6A8C">
        <w:rPr>
          <w:rFonts w:eastAsiaTheme="minorHAnsi" w:cs="Calibri"/>
          <w:b/>
          <w:bCs/>
          <w:i/>
          <w:color w:val="auto"/>
          <w:szCs w:val="24"/>
          <w:lang w:eastAsia="en-US"/>
        </w:rPr>
        <w:t>za wrzesień</w:t>
      </w:r>
      <w:r w:rsidRPr="004C6A8C">
        <w:rPr>
          <w:rFonts w:eastAsiaTheme="minorHAnsi" w:cs="Calibri"/>
          <w:i/>
          <w:color w:val="auto"/>
          <w:szCs w:val="24"/>
          <w:lang w:eastAsia="en-US"/>
        </w:rPr>
        <w:t xml:space="preserve">, zgodnie z kilkoma ustalonymi terminami wypłat. Jednym z nich jest 1 dzień miesiąca. Emeryci i renciści z takim terminem płatności dostaną więc czternastkę odpowiednio wcześniej, bo środki na pocztę i do banków trafią jeszcze w sierpniu. </w:t>
      </w:r>
    </w:p>
    <w:p w:rsidR="00DD27AC" w:rsidRPr="00DD27AC" w:rsidRDefault="00DD27AC" w:rsidP="00DD27AC">
      <w:pPr>
        <w:spacing w:before="0" w:beforeAutospacing="0" w:after="240" w:afterAutospacing="0" w:line="276" w:lineRule="auto"/>
        <w:jc w:val="left"/>
        <w:rPr>
          <w:rFonts w:eastAsiaTheme="minorHAnsi" w:cs="Calibri"/>
          <w:color w:val="auto"/>
          <w:szCs w:val="24"/>
          <w:lang w:eastAsia="en-US"/>
        </w:rPr>
      </w:pPr>
      <w:r w:rsidRPr="00DD27AC">
        <w:rPr>
          <w:rFonts w:eastAsiaTheme="minorHAnsi" w:cs="Calibri"/>
          <w:color w:val="auto"/>
          <w:szCs w:val="24"/>
          <w:lang w:eastAsia="en-US"/>
        </w:rPr>
        <w:t xml:space="preserve">W tym roku pełna czternastka wyniesie </w:t>
      </w:r>
      <w:r w:rsidRPr="00DD27AC">
        <w:rPr>
          <w:rFonts w:eastAsiaTheme="minorHAnsi" w:cs="Calibri"/>
          <w:b/>
          <w:bCs/>
          <w:color w:val="auto"/>
          <w:szCs w:val="24"/>
          <w:lang w:eastAsia="en-US"/>
        </w:rPr>
        <w:t xml:space="preserve">1878,91 zł brutto </w:t>
      </w:r>
      <w:r w:rsidRPr="00DD27AC">
        <w:rPr>
          <w:rFonts w:eastAsiaTheme="minorHAnsi" w:cs="Calibri"/>
          <w:color w:val="auto"/>
          <w:szCs w:val="24"/>
          <w:lang w:eastAsia="en-US"/>
        </w:rPr>
        <w:t>– to dokładnie tyle co obecna minimalna emerytura. Na całą kwotę mogą liczyć osoby, których świadczenie podstawowe (np. emerytura, renta) nie przekracza 2900 zł brutto. Osoby ze świadczeniami powyżej 2900 zł i nie więcej niż 4728,91 zł brutto, otrzymają czternastkę pomniejszoną zgodnie z zasadą złotówka za złotówkę. Na przykład do emerytury w kwocie 3500 zł brutto będzie przysługiwać czternastka zmniejszona o 600 zł, czyli do wypłaty zostanie 1278,91 zł brutto. ZUS nie przyzna czternastki, jeśli okaże się ona niższa niż 50 zł brutto. Nie otrzymają jej więc osoby, które mają emeryturę lub rentę wyższą niż 4728,91 zł brutto. Na dodatkowe świadczenie nie mogą również liczyć osoby, które na 31 sierpnia będą miały zawieszoną wypłatę emerytury/renty, np. dlatego, że przekroczyły limit dorabiania.</w:t>
      </w:r>
    </w:p>
    <w:p w:rsidR="00DD27AC" w:rsidRPr="00DD27AC" w:rsidRDefault="00DD27AC" w:rsidP="00DD27AC">
      <w:pPr>
        <w:spacing w:before="0" w:beforeAutospacing="0" w:after="240" w:afterAutospacing="0" w:line="276" w:lineRule="auto"/>
        <w:jc w:val="left"/>
        <w:rPr>
          <w:rFonts w:eastAsiaTheme="minorHAnsi" w:cs="Calibri"/>
          <w:color w:val="auto"/>
          <w:szCs w:val="24"/>
          <w:lang w:eastAsia="en-US"/>
        </w:rPr>
      </w:pPr>
      <w:r w:rsidRPr="00DD27AC">
        <w:rPr>
          <w:rFonts w:eastAsiaTheme="minorHAnsi" w:cs="Calibri"/>
          <w:color w:val="auto"/>
          <w:szCs w:val="24"/>
          <w:lang w:eastAsia="en-US"/>
        </w:rPr>
        <w:t xml:space="preserve">ZUS odliczy od czternastki składkę zdrowotną oraz zaliczkę na podatek dochodowy. Wysokość czternastki na rękę nie będzie jednakowa z powodu różnic w zaliczce na podatek. Na przykład osoba, która pobiera emeryturę w kwocie minimalnej (1878,91 zł brutto), otrzyma 1558,81 zł na rękę.  </w:t>
      </w:r>
    </w:p>
    <w:p w:rsidR="00DD27AC" w:rsidRPr="00DD27AC" w:rsidRDefault="00DD27AC" w:rsidP="00DD27AC">
      <w:pPr>
        <w:spacing w:before="0" w:beforeAutospacing="0" w:after="240" w:afterAutospacing="0" w:line="276" w:lineRule="auto"/>
        <w:jc w:val="left"/>
        <w:rPr>
          <w:rFonts w:eastAsiaTheme="minorHAnsi" w:cs="Calibri"/>
          <w:color w:val="auto"/>
          <w:szCs w:val="24"/>
          <w:lang w:eastAsia="en-US"/>
        </w:rPr>
      </w:pPr>
      <w:r w:rsidRPr="00DD27AC">
        <w:rPr>
          <w:rFonts w:eastAsiaTheme="minorHAnsi" w:cs="Calibri"/>
          <w:color w:val="auto"/>
          <w:szCs w:val="24"/>
          <w:lang w:eastAsia="en-US"/>
        </w:rPr>
        <w:t xml:space="preserve">Czternastka będzie wolna od potrąceń, np. zajęć komorniczych. Nie wlicza się do dochodu przy ubieganiu się o pomoc społeczną, alimenty czy 500+ dla niezdolnych do samodzielnej egzystencji. </w:t>
      </w:r>
    </w:p>
    <w:p w:rsidR="00DD27AC" w:rsidRDefault="00DD27AC" w:rsidP="00DD27AC">
      <w:pPr>
        <w:spacing w:before="0" w:beforeAutospacing="0" w:after="240" w:afterAutospacing="0" w:line="276" w:lineRule="auto"/>
        <w:jc w:val="left"/>
        <w:rPr>
          <w:rFonts w:eastAsiaTheme="minorHAnsi" w:cs="Calibri"/>
          <w:color w:val="auto"/>
          <w:szCs w:val="24"/>
          <w:lang w:eastAsia="en-US"/>
        </w:rPr>
      </w:pPr>
      <w:r w:rsidRPr="004C6A8C">
        <w:rPr>
          <w:rFonts w:eastAsiaTheme="minorHAnsi" w:cs="Calibri"/>
          <w:i/>
          <w:color w:val="auto"/>
          <w:szCs w:val="24"/>
          <w:lang w:eastAsia="en-US"/>
        </w:rPr>
        <w:t>Przy ustaleniu wysokości świadczenia osobie, która pobiera rentę wdowią, ZUS przyjmie sumę przysługujących świadczeń wypłacanych w zbiegu lub sumę przysługujących świadczeń przyznanych i wypłacanych przez dwa organy emerytalne/rentowe lub przez kilka organów</w:t>
      </w:r>
      <w:r w:rsidR="00D10547">
        <w:rPr>
          <w:rFonts w:eastAsiaTheme="minorHAnsi" w:cs="Calibri"/>
          <w:color w:val="auto"/>
          <w:szCs w:val="24"/>
          <w:lang w:eastAsia="en-US"/>
        </w:rPr>
        <w:t xml:space="preserve"> – dodaje Nowicka.</w:t>
      </w:r>
    </w:p>
    <w:p w:rsidR="00D10547" w:rsidRDefault="00D10547" w:rsidP="00DD27AC">
      <w:pPr>
        <w:spacing w:before="0" w:beforeAutospacing="0" w:after="240" w:afterAutospacing="0" w:line="276" w:lineRule="auto"/>
        <w:jc w:val="left"/>
        <w:rPr>
          <w:rFonts w:eastAsiaTheme="minorHAnsi" w:cs="Calibri"/>
          <w:color w:val="auto"/>
          <w:szCs w:val="24"/>
          <w:lang w:eastAsia="en-US"/>
        </w:rPr>
      </w:pPr>
    </w:p>
    <w:tbl>
      <w:tblPr>
        <w:tblW w:w="9680" w:type="dxa"/>
        <w:tblInd w:w="-15" w:type="dxa"/>
        <w:tblCellMar>
          <w:left w:w="0" w:type="dxa"/>
          <w:right w:w="0" w:type="dxa"/>
        </w:tblCellMar>
        <w:tblLook w:val="04A0" w:firstRow="1" w:lastRow="0" w:firstColumn="1" w:lastColumn="0" w:noHBand="0" w:noVBand="1"/>
      </w:tblPr>
      <w:tblGrid>
        <w:gridCol w:w="2900"/>
        <w:gridCol w:w="2420"/>
        <w:gridCol w:w="2180"/>
        <w:gridCol w:w="2180"/>
      </w:tblGrid>
      <w:tr w:rsidR="00D10547" w:rsidTr="00D10547">
        <w:trPr>
          <w:trHeight w:val="375"/>
        </w:trPr>
        <w:tc>
          <w:tcPr>
            <w:tcW w:w="9680" w:type="dxa"/>
            <w:gridSpan w:val="4"/>
            <w:noWrap/>
            <w:tcMar>
              <w:top w:w="0" w:type="dxa"/>
              <w:left w:w="70" w:type="dxa"/>
              <w:bottom w:w="0" w:type="dxa"/>
              <w:right w:w="70" w:type="dxa"/>
            </w:tcMar>
            <w:vAlign w:val="center"/>
            <w:hideMark/>
          </w:tcPr>
          <w:p w:rsidR="00D10547" w:rsidRDefault="00D10547">
            <w:pPr>
              <w:rPr>
                <w:rFonts w:eastAsiaTheme="minorHAnsi" w:cs="Calibri"/>
                <w:b/>
                <w:bCs/>
                <w:sz w:val="22"/>
                <w:szCs w:val="22"/>
              </w:rPr>
            </w:pPr>
            <w:r>
              <w:rPr>
                <w:rFonts w:cs="Calibri"/>
                <w:b/>
                <w:bCs/>
                <w:sz w:val="22"/>
                <w:szCs w:val="22"/>
              </w:rPr>
              <w:lastRenderedPageBreak/>
              <w:t>Wysokość "czternastek" w 2025 r. [w zł]*</w:t>
            </w:r>
          </w:p>
        </w:tc>
      </w:tr>
      <w:tr w:rsidR="00D10547" w:rsidTr="00D10547">
        <w:trPr>
          <w:trHeight w:val="1215"/>
        </w:trPr>
        <w:tc>
          <w:tcPr>
            <w:tcW w:w="2900"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rsidR="00D10547" w:rsidRDefault="00D10547">
            <w:pPr>
              <w:rPr>
                <w:rFonts w:eastAsiaTheme="minorHAnsi" w:cs="Calibri"/>
                <w:b/>
                <w:bCs/>
                <w:sz w:val="22"/>
                <w:szCs w:val="22"/>
              </w:rPr>
            </w:pPr>
            <w:r>
              <w:rPr>
                <w:rFonts w:cs="Calibri"/>
                <w:b/>
                <w:bCs/>
                <w:sz w:val="22"/>
                <w:szCs w:val="22"/>
              </w:rPr>
              <w:t>Miesięczna wysokość emerytury brutto</w:t>
            </w:r>
          </w:p>
        </w:tc>
        <w:tc>
          <w:tcPr>
            <w:tcW w:w="242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D10547" w:rsidRDefault="00D10547">
            <w:pPr>
              <w:rPr>
                <w:rFonts w:eastAsiaTheme="minorHAnsi" w:cs="Calibri"/>
                <w:b/>
                <w:bCs/>
                <w:sz w:val="22"/>
                <w:szCs w:val="22"/>
              </w:rPr>
            </w:pPr>
            <w:r>
              <w:rPr>
                <w:rFonts w:cs="Calibri"/>
                <w:b/>
                <w:bCs/>
                <w:sz w:val="22"/>
                <w:szCs w:val="22"/>
              </w:rPr>
              <w:t>Miesięczna wysokość emerytury netto</w:t>
            </w:r>
          </w:p>
        </w:tc>
        <w:tc>
          <w:tcPr>
            <w:tcW w:w="218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D10547" w:rsidRDefault="00D10547">
            <w:pPr>
              <w:rPr>
                <w:rFonts w:eastAsiaTheme="minorHAnsi" w:cs="Calibri"/>
                <w:b/>
                <w:bCs/>
                <w:sz w:val="22"/>
                <w:szCs w:val="22"/>
              </w:rPr>
            </w:pPr>
            <w:r>
              <w:rPr>
                <w:rFonts w:cs="Calibri"/>
                <w:b/>
                <w:bCs/>
                <w:sz w:val="22"/>
                <w:szCs w:val="22"/>
              </w:rPr>
              <w:t>Wysokość "czternastki" brutto</w:t>
            </w:r>
          </w:p>
        </w:tc>
        <w:tc>
          <w:tcPr>
            <w:tcW w:w="218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rsidR="00D10547" w:rsidRDefault="00D10547">
            <w:pPr>
              <w:rPr>
                <w:rFonts w:eastAsiaTheme="minorHAnsi" w:cs="Calibri"/>
                <w:b/>
                <w:bCs/>
                <w:sz w:val="22"/>
                <w:szCs w:val="22"/>
              </w:rPr>
            </w:pPr>
            <w:r>
              <w:rPr>
                <w:rFonts w:cs="Calibri"/>
                <w:b/>
                <w:bCs/>
                <w:sz w:val="22"/>
                <w:szCs w:val="22"/>
              </w:rPr>
              <w:t>Wysokość "czternastki" netto</w:t>
            </w:r>
          </w:p>
        </w:tc>
      </w:tr>
      <w:tr w:rsidR="00D10547" w:rsidTr="00D10547">
        <w:trPr>
          <w:trHeight w:val="402"/>
        </w:trPr>
        <w:tc>
          <w:tcPr>
            <w:tcW w:w="29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1 878,91 zł</w:t>
            </w:r>
          </w:p>
        </w:tc>
        <w:tc>
          <w:tcPr>
            <w:tcW w:w="24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1 709,81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1 878,91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1 558,81 zł</w:t>
            </w:r>
          </w:p>
        </w:tc>
      </w:tr>
      <w:tr w:rsidR="00D10547" w:rsidTr="00D10547">
        <w:trPr>
          <w:trHeight w:val="402"/>
        </w:trPr>
        <w:tc>
          <w:tcPr>
            <w:tcW w:w="29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2 000,00 zł</w:t>
            </w:r>
          </w:p>
        </w:tc>
        <w:tc>
          <w:tcPr>
            <w:tcW w:w="24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1 820,00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1 878,91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1 544,81 zł</w:t>
            </w:r>
          </w:p>
        </w:tc>
      </w:tr>
      <w:tr w:rsidR="00D10547" w:rsidTr="00D10547">
        <w:trPr>
          <w:trHeight w:val="402"/>
        </w:trPr>
        <w:tc>
          <w:tcPr>
            <w:tcW w:w="29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2 250,00 zł</w:t>
            </w:r>
          </w:p>
        </w:tc>
        <w:tc>
          <w:tcPr>
            <w:tcW w:w="24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2 047,50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1 878,91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1 514,81 zł</w:t>
            </w:r>
          </w:p>
        </w:tc>
      </w:tr>
      <w:tr w:rsidR="00D10547" w:rsidTr="00D10547">
        <w:trPr>
          <w:trHeight w:val="402"/>
        </w:trPr>
        <w:tc>
          <w:tcPr>
            <w:tcW w:w="29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2 500,00 zł</w:t>
            </w:r>
          </w:p>
        </w:tc>
        <w:tc>
          <w:tcPr>
            <w:tcW w:w="24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2 275,00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1 878,91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1 484,81 zł</w:t>
            </w:r>
          </w:p>
        </w:tc>
      </w:tr>
      <w:tr w:rsidR="00D10547" w:rsidTr="00D10547">
        <w:trPr>
          <w:trHeight w:val="402"/>
        </w:trPr>
        <w:tc>
          <w:tcPr>
            <w:tcW w:w="29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2 750,00 zł</w:t>
            </w:r>
          </w:p>
        </w:tc>
        <w:tc>
          <w:tcPr>
            <w:tcW w:w="24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2 472,50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1 878,91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1 484,81 zł</w:t>
            </w:r>
          </w:p>
        </w:tc>
      </w:tr>
      <w:tr w:rsidR="00D10547" w:rsidTr="00D10547">
        <w:trPr>
          <w:trHeight w:val="402"/>
        </w:trPr>
        <w:tc>
          <w:tcPr>
            <w:tcW w:w="29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2 900,00 zł</w:t>
            </w:r>
          </w:p>
        </w:tc>
        <w:tc>
          <w:tcPr>
            <w:tcW w:w="24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2 591,00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1 878,91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1 484,81 zł</w:t>
            </w:r>
          </w:p>
        </w:tc>
      </w:tr>
      <w:tr w:rsidR="00D10547" w:rsidTr="00D10547">
        <w:trPr>
          <w:trHeight w:val="402"/>
        </w:trPr>
        <w:tc>
          <w:tcPr>
            <w:tcW w:w="29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3 000,00 zł</w:t>
            </w:r>
          </w:p>
        </w:tc>
        <w:tc>
          <w:tcPr>
            <w:tcW w:w="24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2 670,00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1 778,91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1 405,81 zł</w:t>
            </w:r>
          </w:p>
        </w:tc>
      </w:tr>
      <w:tr w:rsidR="00D10547" w:rsidTr="00D10547">
        <w:trPr>
          <w:trHeight w:val="402"/>
        </w:trPr>
        <w:tc>
          <w:tcPr>
            <w:tcW w:w="29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3 250,00 zł</w:t>
            </w:r>
          </w:p>
        </w:tc>
        <w:tc>
          <w:tcPr>
            <w:tcW w:w="24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2 867,50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1 528,91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1 208,31 zł</w:t>
            </w:r>
          </w:p>
        </w:tc>
      </w:tr>
      <w:tr w:rsidR="00D10547" w:rsidTr="00D10547">
        <w:trPr>
          <w:trHeight w:val="402"/>
        </w:trPr>
        <w:tc>
          <w:tcPr>
            <w:tcW w:w="29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3 500,00 zł</w:t>
            </w:r>
          </w:p>
        </w:tc>
        <w:tc>
          <w:tcPr>
            <w:tcW w:w="24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3 065,00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1 278,91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1 010,81 zł</w:t>
            </w:r>
          </w:p>
        </w:tc>
      </w:tr>
      <w:tr w:rsidR="00D10547" w:rsidTr="00D10547">
        <w:trPr>
          <w:trHeight w:val="402"/>
        </w:trPr>
        <w:tc>
          <w:tcPr>
            <w:tcW w:w="29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3 750,00 zł</w:t>
            </w:r>
          </w:p>
        </w:tc>
        <w:tc>
          <w:tcPr>
            <w:tcW w:w="24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3 262,50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1 028,91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813,31 zł</w:t>
            </w:r>
          </w:p>
        </w:tc>
      </w:tr>
      <w:tr w:rsidR="00D10547" w:rsidTr="00D10547">
        <w:trPr>
          <w:trHeight w:val="402"/>
        </w:trPr>
        <w:tc>
          <w:tcPr>
            <w:tcW w:w="29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4 000,00 zł</w:t>
            </w:r>
          </w:p>
        </w:tc>
        <w:tc>
          <w:tcPr>
            <w:tcW w:w="24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3 460,00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778,91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615,81 zł</w:t>
            </w:r>
          </w:p>
        </w:tc>
      </w:tr>
      <w:tr w:rsidR="00D10547" w:rsidTr="00D10547">
        <w:trPr>
          <w:trHeight w:val="402"/>
        </w:trPr>
        <w:tc>
          <w:tcPr>
            <w:tcW w:w="29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4 500,00 zł</w:t>
            </w:r>
          </w:p>
        </w:tc>
        <w:tc>
          <w:tcPr>
            <w:tcW w:w="24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3 855,00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278,91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 xml:space="preserve">242,24 zł </w:t>
            </w:r>
          </w:p>
        </w:tc>
      </w:tr>
      <w:tr w:rsidR="00D10547" w:rsidTr="00D10547">
        <w:trPr>
          <w:trHeight w:val="402"/>
        </w:trPr>
        <w:tc>
          <w:tcPr>
            <w:tcW w:w="2900" w:type="dxa"/>
            <w:tcBorders>
              <w:top w:val="nil"/>
              <w:left w:val="single" w:sz="8" w:space="0" w:color="auto"/>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4 728,91 zł</w:t>
            </w:r>
          </w:p>
        </w:tc>
        <w:tc>
          <w:tcPr>
            <w:tcW w:w="242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4 036,31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50,00 zł</w:t>
            </w:r>
          </w:p>
        </w:tc>
        <w:tc>
          <w:tcPr>
            <w:tcW w:w="2180" w:type="dxa"/>
            <w:tcBorders>
              <w:top w:val="nil"/>
              <w:left w:val="nil"/>
              <w:bottom w:val="single" w:sz="8" w:space="0" w:color="auto"/>
              <w:right w:val="single" w:sz="8" w:space="0" w:color="auto"/>
            </w:tcBorders>
            <w:noWrap/>
            <w:tcMar>
              <w:top w:w="0" w:type="dxa"/>
              <w:left w:w="70" w:type="dxa"/>
              <w:bottom w:w="0" w:type="dxa"/>
              <w:right w:w="70" w:type="dxa"/>
            </w:tcMar>
            <w:vAlign w:val="center"/>
            <w:hideMark/>
          </w:tcPr>
          <w:p w:rsidR="00D10547" w:rsidRDefault="00D10547">
            <w:pPr>
              <w:rPr>
                <w:rFonts w:eastAsiaTheme="minorHAnsi" w:cs="Calibri"/>
                <w:sz w:val="22"/>
                <w:szCs w:val="22"/>
              </w:rPr>
            </w:pPr>
            <w:r>
              <w:rPr>
                <w:rFonts w:cs="Calibri"/>
                <w:sz w:val="22"/>
                <w:szCs w:val="22"/>
              </w:rPr>
              <w:t xml:space="preserve">44,00 zł </w:t>
            </w:r>
          </w:p>
        </w:tc>
      </w:tr>
      <w:tr w:rsidR="00D10547" w:rsidTr="00D10547">
        <w:trPr>
          <w:trHeight w:val="40"/>
        </w:trPr>
        <w:tc>
          <w:tcPr>
            <w:tcW w:w="2900" w:type="dxa"/>
            <w:noWrap/>
            <w:tcMar>
              <w:top w:w="0" w:type="dxa"/>
              <w:left w:w="70" w:type="dxa"/>
              <w:bottom w:w="0" w:type="dxa"/>
              <w:right w:w="70" w:type="dxa"/>
            </w:tcMar>
            <w:vAlign w:val="bottom"/>
            <w:hideMark/>
          </w:tcPr>
          <w:p w:rsidR="00D10547" w:rsidRDefault="00D10547">
            <w:pPr>
              <w:rPr>
                <w:sz w:val="20"/>
              </w:rPr>
            </w:pPr>
          </w:p>
        </w:tc>
        <w:tc>
          <w:tcPr>
            <w:tcW w:w="2420" w:type="dxa"/>
            <w:noWrap/>
            <w:tcMar>
              <w:top w:w="0" w:type="dxa"/>
              <w:left w:w="70" w:type="dxa"/>
              <w:bottom w:w="0" w:type="dxa"/>
              <w:right w:w="70" w:type="dxa"/>
            </w:tcMar>
            <w:vAlign w:val="bottom"/>
            <w:hideMark/>
          </w:tcPr>
          <w:p w:rsidR="00D10547" w:rsidRDefault="00D10547">
            <w:pPr>
              <w:rPr>
                <w:sz w:val="20"/>
              </w:rPr>
            </w:pPr>
          </w:p>
        </w:tc>
        <w:tc>
          <w:tcPr>
            <w:tcW w:w="2180" w:type="dxa"/>
            <w:noWrap/>
            <w:tcMar>
              <w:top w:w="0" w:type="dxa"/>
              <w:left w:w="70" w:type="dxa"/>
              <w:bottom w:w="0" w:type="dxa"/>
              <w:right w:w="70" w:type="dxa"/>
            </w:tcMar>
            <w:vAlign w:val="bottom"/>
            <w:hideMark/>
          </w:tcPr>
          <w:p w:rsidR="00D10547" w:rsidRDefault="00D10547">
            <w:pPr>
              <w:rPr>
                <w:sz w:val="20"/>
              </w:rPr>
            </w:pPr>
          </w:p>
        </w:tc>
        <w:tc>
          <w:tcPr>
            <w:tcW w:w="2180" w:type="dxa"/>
            <w:noWrap/>
            <w:tcMar>
              <w:top w:w="0" w:type="dxa"/>
              <w:left w:w="70" w:type="dxa"/>
              <w:bottom w:w="0" w:type="dxa"/>
              <w:right w:w="70" w:type="dxa"/>
            </w:tcMar>
            <w:vAlign w:val="bottom"/>
            <w:hideMark/>
          </w:tcPr>
          <w:p w:rsidR="00D10547" w:rsidRDefault="00D10547">
            <w:pPr>
              <w:rPr>
                <w:sz w:val="20"/>
              </w:rPr>
            </w:pPr>
          </w:p>
        </w:tc>
      </w:tr>
      <w:tr w:rsidR="00D10547" w:rsidTr="00D10547">
        <w:trPr>
          <w:trHeight w:val="1260"/>
        </w:trPr>
        <w:tc>
          <w:tcPr>
            <w:tcW w:w="9680" w:type="dxa"/>
            <w:gridSpan w:val="4"/>
            <w:tcMar>
              <w:top w:w="0" w:type="dxa"/>
              <w:left w:w="70" w:type="dxa"/>
              <w:bottom w:w="0" w:type="dxa"/>
              <w:right w:w="70" w:type="dxa"/>
            </w:tcMar>
            <w:vAlign w:val="bottom"/>
            <w:hideMark/>
          </w:tcPr>
          <w:p w:rsidR="00D10547" w:rsidRDefault="00D10547">
            <w:pPr>
              <w:rPr>
                <w:rFonts w:eastAsiaTheme="minorHAnsi" w:cs="Calibri"/>
                <w:sz w:val="20"/>
              </w:rPr>
            </w:pPr>
            <w:r>
              <w:rPr>
                <w:rFonts w:cs="Calibri"/>
                <w:sz w:val="20"/>
              </w:rPr>
              <w:t>* Wyliczenia uwzględniają pomniejszenie "czternastki" według zasady złotówka za złotówkę oraz pomniejszenie świadczenia o zaliczkę na podatek dochodowy (12 proc.) oraz składkę na ubezpieczenie zdrowotne (9 proc.). Minimalna wysokość czternastki będzie musiała wynieść co najmniej 50 zł, aby świadczenie przysługiwało.</w:t>
            </w:r>
          </w:p>
        </w:tc>
      </w:tr>
    </w:tbl>
    <w:p w:rsidR="00D10547" w:rsidRDefault="00D10547" w:rsidP="00D10547">
      <w:pPr>
        <w:rPr>
          <w:rFonts w:eastAsiaTheme="minorHAnsi" w:cs="Calibri"/>
          <w:color w:val="1F497D"/>
          <w:sz w:val="22"/>
          <w:szCs w:val="22"/>
        </w:rPr>
      </w:pPr>
    </w:p>
    <w:p w:rsidR="00D10547" w:rsidRPr="00DD27AC" w:rsidRDefault="00D10547" w:rsidP="00DD27AC">
      <w:pPr>
        <w:spacing w:before="0" w:beforeAutospacing="0" w:after="240" w:afterAutospacing="0" w:line="276" w:lineRule="auto"/>
        <w:jc w:val="left"/>
        <w:rPr>
          <w:rFonts w:eastAsiaTheme="minorHAnsi" w:cs="Calibri"/>
          <w:color w:val="auto"/>
          <w:szCs w:val="24"/>
          <w:lang w:eastAsia="en-US"/>
        </w:rPr>
      </w:pPr>
      <w:bookmarkStart w:id="0" w:name="_GoBack"/>
      <w:bookmarkEnd w:id="0"/>
    </w:p>
    <w:sectPr w:rsidR="00D10547" w:rsidRPr="00DD27AC">
      <w:footerReference w:type="default" r:id="rId9"/>
      <w:footerReference w:type="first" r:id="rId10"/>
      <w:pgSz w:w="11906" w:h="16838"/>
      <w:pgMar w:top="1134" w:right="1134" w:bottom="1701" w:left="1814" w:header="284" w:footer="907"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5ED4" w:rsidRDefault="00255ED4">
      <w:pPr>
        <w:spacing w:before="0" w:after="0"/>
      </w:pPr>
      <w:r>
        <w:separator/>
      </w:r>
    </w:p>
  </w:endnote>
  <w:endnote w:type="continuationSeparator" w:id="0">
    <w:p w:rsidR="00255ED4" w:rsidRDefault="00255ED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78C4" w:rsidRDefault="00D36A83">
    <w:pPr>
      <w:pStyle w:val="Stopka"/>
      <w:jc w:val="center"/>
      <w:rPr>
        <w:rStyle w:val="StopkastronyZnak"/>
      </w:rPr>
    </w:pPr>
    <w:r>
      <w:rPr>
        <w:rStyle w:val="StopkastronyZnak"/>
      </w:rPr>
      <w:fldChar w:fldCharType="begin"/>
    </w:r>
    <w:r>
      <w:rPr>
        <w:rStyle w:val="StopkastronyZnak"/>
      </w:rPr>
      <w:instrText>PAGE \* MERGEFORMAT</w:instrText>
    </w:r>
    <w:r>
      <w:rPr>
        <w:rStyle w:val="StopkastronyZnak"/>
      </w:rPr>
      <w:fldChar w:fldCharType="separate"/>
    </w:r>
    <w:r w:rsidR="00D10547">
      <w:rPr>
        <w:rStyle w:val="StopkastronyZnak"/>
        <w:noProof/>
      </w:rPr>
      <w:t>2</w:t>
    </w:r>
    <w:r>
      <w:rPr>
        <w:rStyle w:val="StopkastronyZnak"/>
      </w:rPr>
      <w:fldChar w:fldCharType="end"/>
    </w:r>
    <w:r>
      <w:rPr>
        <w:rStyle w:val="StopkastronyZnak"/>
      </w:rPr>
      <w:t xml:space="preserve"> / </w:t>
    </w:r>
    <w:fldSimple w:instr=" NUMPAGES  \* MERGEFORMAT ">
      <w:r w:rsidR="00D10547" w:rsidRPr="00D10547">
        <w:rPr>
          <w:rStyle w:val="StopkastronyZnak"/>
          <w:noProof/>
        </w:rPr>
        <w:t>2</w:t>
      </w:r>
    </w:fldSimple>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78C4" w:rsidRDefault="00D36A83">
    <w:pPr>
      <w:pStyle w:val="Stopkainfo"/>
      <w:tabs>
        <w:tab w:val="center" w:pos="4536"/>
        <w:tab w:val="right" w:pos="8931"/>
      </w:tabs>
    </w:pPr>
    <w:r>
      <w:rPr>
        <w:noProof/>
      </w:rPr>
      <w:drawing>
        <wp:anchor distT="0" distB="0" distL="114300" distR="114300" simplePos="0" relativeHeight="251658240" behindDoc="0" locked="0" layoutInCell="0" allowOverlap="1" wp14:anchorId="3A50F529" wp14:editId="4ED9F29F">
          <wp:simplePos x="0" y="0"/>
          <wp:positionH relativeFrom="column">
            <wp:posOffset>12065</wp:posOffset>
          </wp:positionH>
          <wp:positionV relativeFrom="paragraph">
            <wp:posOffset>121285</wp:posOffset>
          </wp:positionV>
          <wp:extent cx="5696585" cy="15240"/>
          <wp:effectExtent l="0" t="0" r="0" b="0"/>
          <wp:wrapNone/>
          <wp:docPr id="4"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stretch>
                    <a:fillRect/>
                  </a:stretch>
                </pic:blipFill>
                <pic:spPr>
                  <a:xfrm>
                    <a:off x="0" y="0"/>
                    <a:ext cx="5696585" cy="1524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5ED4" w:rsidRDefault="00255ED4">
      <w:pPr>
        <w:spacing w:before="0" w:after="0"/>
      </w:pPr>
      <w:r>
        <w:separator/>
      </w:r>
    </w:p>
  </w:footnote>
  <w:footnote w:type="continuationSeparator" w:id="0">
    <w:p w:rsidR="00255ED4" w:rsidRDefault="00255ED4">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517D4"/>
    <w:multiLevelType w:val="multilevel"/>
    <w:tmpl w:val="C84214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676189A"/>
    <w:multiLevelType w:val="hybridMultilevel"/>
    <w:tmpl w:val="FEBABA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nsid w:val="1E8E544E"/>
    <w:multiLevelType w:val="multilevel"/>
    <w:tmpl w:val="E258F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2923DC"/>
    <w:multiLevelType w:val="multilevel"/>
    <w:tmpl w:val="CEB69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BCD5927"/>
    <w:multiLevelType w:val="hybridMultilevel"/>
    <w:tmpl w:val="C218BCC2"/>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D8A09A6"/>
    <w:multiLevelType w:val="multilevel"/>
    <w:tmpl w:val="8C644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4"/>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8"/>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8C4"/>
    <w:rsid w:val="0003733C"/>
    <w:rsid w:val="00063943"/>
    <w:rsid w:val="000675D1"/>
    <w:rsid w:val="000809AD"/>
    <w:rsid w:val="000E2A9E"/>
    <w:rsid w:val="001153EB"/>
    <w:rsid w:val="00151F89"/>
    <w:rsid w:val="001554E1"/>
    <w:rsid w:val="00185BFD"/>
    <w:rsid w:val="001A6097"/>
    <w:rsid w:val="00204846"/>
    <w:rsid w:val="00255ED4"/>
    <w:rsid w:val="00274BED"/>
    <w:rsid w:val="00286D95"/>
    <w:rsid w:val="002C0883"/>
    <w:rsid w:val="002C2B21"/>
    <w:rsid w:val="002F0C7F"/>
    <w:rsid w:val="0030636D"/>
    <w:rsid w:val="003330BE"/>
    <w:rsid w:val="00374BC5"/>
    <w:rsid w:val="003D3155"/>
    <w:rsid w:val="003D47ED"/>
    <w:rsid w:val="003D799C"/>
    <w:rsid w:val="003F69E0"/>
    <w:rsid w:val="0046767C"/>
    <w:rsid w:val="00496F48"/>
    <w:rsid w:val="004A5E03"/>
    <w:rsid w:val="004B1F76"/>
    <w:rsid w:val="004C6A8C"/>
    <w:rsid w:val="00506E77"/>
    <w:rsid w:val="00592CB3"/>
    <w:rsid w:val="00595BDC"/>
    <w:rsid w:val="005A542F"/>
    <w:rsid w:val="005E3DE3"/>
    <w:rsid w:val="005E57B0"/>
    <w:rsid w:val="005E683D"/>
    <w:rsid w:val="005F1081"/>
    <w:rsid w:val="005F7C0D"/>
    <w:rsid w:val="00604F06"/>
    <w:rsid w:val="00612656"/>
    <w:rsid w:val="0063152A"/>
    <w:rsid w:val="00637029"/>
    <w:rsid w:val="006C0EFF"/>
    <w:rsid w:val="006E4CF3"/>
    <w:rsid w:val="00712BCC"/>
    <w:rsid w:val="00725AF5"/>
    <w:rsid w:val="007A6BEE"/>
    <w:rsid w:val="007C36C6"/>
    <w:rsid w:val="007C642F"/>
    <w:rsid w:val="007F5C41"/>
    <w:rsid w:val="008002C0"/>
    <w:rsid w:val="00810959"/>
    <w:rsid w:val="0083665B"/>
    <w:rsid w:val="00841560"/>
    <w:rsid w:val="00847040"/>
    <w:rsid w:val="008F564F"/>
    <w:rsid w:val="0091680F"/>
    <w:rsid w:val="00962F66"/>
    <w:rsid w:val="0096435C"/>
    <w:rsid w:val="0099205E"/>
    <w:rsid w:val="009B0A64"/>
    <w:rsid w:val="009B1451"/>
    <w:rsid w:val="009C7269"/>
    <w:rsid w:val="009F21B1"/>
    <w:rsid w:val="009F4D40"/>
    <w:rsid w:val="00A400F3"/>
    <w:rsid w:val="00A824C3"/>
    <w:rsid w:val="00A93999"/>
    <w:rsid w:val="00AA1F4F"/>
    <w:rsid w:val="00AD7739"/>
    <w:rsid w:val="00B2109E"/>
    <w:rsid w:val="00B27706"/>
    <w:rsid w:val="00B316E3"/>
    <w:rsid w:val="00B40C33"/>
    <w:rsid w:val="00BD516C"/>
    <w:rsid w:val="00C0484C"/>
    <w:rsid w:val="00C143E6"/>
    <w:rsid w:val="00C33C68"/>
    <w:rsid w:val="00C421DB"/>
    <w:rsid w:val="00CA5BB6"/>
    <w:rsid w:val="00CC79C7"/>
    <w:rsid w:val="00D10547"/>
    <w:rsid w:val="00D36A83"/>
    <w:rsid w:val="00D6440C"/>
    <w:rsid w:val="00D6582B"/>
    <w:rsid w:val="00D857BF"/>
    <w:rsid w:val="00D978C4"/>
    <w:rsid w:val="00DD27AC"/>
    <w:rsid w:val="00DD39F2"/>
    <w:rsid w:val="00DD5656"/>
    <w:rsid w:val="00DF5B90"/>
    <w:rsid w:val="00E06176"/>
    <w:rsid w:val="00E17444"/>
    <w:rsid w:val="00E224B5"/>
    <w:rsid w:val="00E731DE"/>
    <w:rsid w:val="00E94112"/>
    <w:rsid w:val="00EB0B1D"/>
    <w:rsid w:val="00ED579A"/>
    <w:rsid w:val="00EF3EAE"/>
    <w:rsid w:val="00F00D7C"/>
    <w:rsid w:val="00F74398"/>
    <w:rsid w:val="00FE1E5F"/>
    <w:rsid w:val="00FF25DC"/>
    <w:rsid w:val="00FF424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pPr>
      <w:spacing w:before="100" w:beforeAutospacing="1" w:after="100" w:afterAutospacing="1" w:line="240" w:lineRule="auto"/>
      <w:jc w:val="both"/>
    </w:pPr>
    <w:rPr>
      <w:rFonts w:ascii="Calibri" w:hAnsi="Calibri"/>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pPr>
      <w:tabs>
        <w:tab w:val="center" w:pos="4536"/>
        <w:tab w:val="right" w:pos="9072"/>
      </w:tabs>
      <w:spacing w:beforeAutospacing="0" w:after="0" w:afterAutospacing="0"/>
    </w:pPr>
  </w:style>
  <w:style w:type="paragraph" w:customStyle="1" w:styleId="Stopkainfo">
    <w:name w:val="Stopka info"/>
    <w:basedOn w:val="Stopka"/>
    <w:pPr>
      <w:tabs>
        <w:tab w:val="clear" w:pos="4536"/>
        <w:tab w:val="clear" w:pos="9072"/>
        <w:tab w:val="left" w:pos="3261"/>
        <w:tab w:val="left" w:pos="6379"/>
      </w:tabs>
      <w:spacing w:before="0" w:line="276" w:lineRule="auto"/>
      <w:jc w:val="left"/>
    </w:pPr>
    <w:rPr>
      <w:color w:val="003D6E"/>
      <w:sz w:val="20"/>
    </w:rPr>
  </w:style>
  <w:style w:type="paragraph" w:customStyle="1" w:styleId="Jednostka">
    <w:name w:val="Jednostka"/>
    <w:basedOn w:val="Normalny"/>
    <w:link w:val="JednostkaZnak"/>
    <w:qFormat/>
    <w:pPr>
      <w:spacing w:before="0" w:beforeAutospacing="0" w:after="0" w:afterAutospacing="0"/>
      <w:jc w:val="left"/>
    </w:pPr>
    <w:rPr>
      <w:color w:val="003D6E"/>
      <w:sz w:val="20"/>
    </w:rPr>
  </w:style>
  <w:style w:type="character" w:styleId="Numerwiersza">
    <w:name w:val="line number"/>
    <w:basedOn w:val="Domylnaczcionkaakapitu"/>
    <w:semiHidden/>
  </w:style>
  <w:style w:type="character" w:styleId="Hipercze">
    <w:name w:val="Hyperlink"/>
    <w:rPr>
      <w:color w:val="0000FF"/>
      <w:u w:val="single"/>
    </w:rPr>
  </w:style>
  <w:style w:type="character" w:customStyle="1" w:styleId="StopkaZnak">
    <w:name w:val="Stopka Znak"/>
    <w:basedOn w:val="Domylnaczcionkaakapitu"/>
    <w:rPr>
      <w:color w:val="000000"/>
      <w:sz w:val="22"/>
    </w:rPr>
  </w:style>
  <w:style w:type="character" w:customStyle="1" w:styleId="StopkastronyZnak">
    <w:name w:val="Stopka strony Znak"/>
    <w:basedOn w:val="StopkaZnak"/>
    <w:rPr>
      <w:color w:val="003D6E"/>
      <w:sz w:val="20"/>
    </w:rPr>
  </w:style>
  <w:style w:type="table" w:styleId="Tabela-Prosty1">
    <w:name w:val="Table Simple 1"/>
    <w:basedOn w:val="Standardowy"/>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agwek">
    <w:name w:val="header"/>
    <w:basedOn w:val="Normalny"/>
    <w:link w:val="NagwekZnak"/>
    <w:uiPriority w:val="99"/>
    <w:unhideWhenUsed/>
    <w:rsid w:val="00EF3EAE"/>
    <w:pPr>
      <w:tabs>
        <w:tab w:val="center" w:pos="4536"/>
        <w:tab w:val="right" w:pos="9072"/>
      </w:tabs>
      <w:spacing w:before="0" w:after="0"/>
    </w:pPr>
  </w:style>
  <w:style w:type="character" w:customStyle="1" w:styleId="NagwekZnak">
    <w:name w:val="Nagłówek Znak"/>
    <w:basedOn w:val="Domylnaczcionkaakapitu"/>
    <w:link w:val="Nagwek"/>
    <w:uiPriority w:val="99"/>
    <w:rsid w:val="00EF3EAE"/>
    <w:rPr>
      <w:rFonts w:ascii="Calibri" w:hAnsi="Calibri"/>
      <w:sz w:val="24"/>
    </w:rPr>
  </w:style>
  <w:style w:type="table" w:styleId="Tabela-Siatka">
    <w:name w:val="Table Grid"/>
    <w:basedOn w:val="Standardowy"/>
    <w:uiPriority w:val="59"/>
    <w:rsid w:val="00F00D7C"/>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xmsonormal">
    <w:name w:val="x_x_x_msonormal"/>
    <w:basedOn w:val="Normalny"/>
    <w:rsid w:val="00286D95"/>
    <w:pPr>
      <w:spacing w:before="0" w:beforeAutospacing="0" w:after="0" w:afterAutospacing="0"/>
      <w:jc w:val="left"/>
    </w:pPr>
    <w:rPr>
      <w:rFonts w:ascii="Times New Roman" w:eastAsiaTheme="minorHAnsi" w:hAnsi="Times New Roman"/>
      <w:color w:val="auto"/>
      <w:szCs w:val="24"/>
    </w:rPr>
  </w:style>
  <w:style w:type="paragraph" w:styleId="NormalnyWeb">
    <w:name w:val="Normal (Web)"/>
    <w:basedOn w:val="Normalny"/>
    <w:uiPriority w:val="99"/>
    <w:unhideWhenUsed/>
    <w:rsid w:val="00E731DE"/>
    <w:pPr>
      <w:jc w:val="left"/>
    </w:pPr>
    <w:rPr>
      <w:rFonts w:ascii="Times New Roman" w:eastAsiaTheme="minorHAnsi" w:hAnsi="Times New Roman"/>
      <w:color w:val="auto"/>
      <w:szCs w:val="24"/>
    </w:rPr>
  </w:style>
  <w:style w:type="character" w:customStyle="1" w:styleId="JednostkaZnak">
    <w:name w:val="Jednostka Znak"/>
    <w:link w:val="Jednostka"/>
    <w:rsid w:val="00CA5BB6"/>
    <w:rPr>
      <w:rFonts w:ascii="Calibri" w:hAnsi="Calibri"/>
      <w:color w:val="003D6E"/>
      <w:sz w:val="20"/>
    </w:rPr>
  </w:style>
  <w:style w:type="paragraph" w:styleId="Tekstdymka">
    <w:name w:val="Balloon Text"/>
    <w:basedOn w:val="Normalny"/>
    <w:link w:val="TekstdymkaZnak"/>
    <w:uiPriority w:val="99"/>
    <w:semiHidden/>
    <w:unhideWhenUsed/>
    <w:rsid w:val="00ED579A"/>
    <w:pPr>
      <w:spacing w:before="0" w:after="0"/>
    </w:pPr>
    <w:rPr>
      <w:rFonts w:ascii="Tahoma" w:hAnsi="Tahoma" w:cs="Tahoma"/>
      <w:sz w:val="16"/>
      <w:szCs w:val="16"/>
    </w:rPr>
  </w:style>
  <w:style w:type="character" w:customStyle="1" w:styleId="TekstdymkaZnak">
    <w:name w:val="Tekst dymka Znak"/>
    <w:basedOn w:val="Domylnaczcionkaakapitu"/>
    <w:link w:val="Tekstdymka"/>
    <w:uiPriority w:val="99"/>
    <w:semiHidden/>
    <w:rsid w:val="00ED579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pPr>
      <w:spacing w:before="100" w:beforeAutospacing="1" w:after="100" w:afterAutospacing="1" w:line="240" w:lineRule="auto"/>
      <w:jc w:val="both"/>
    </w:pPr>
    <w:rPr>
      <w:rFonts w:ascii="Calibri" w:hAnsi="Calibri"/>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pPr>
      <w:tabs>
        <w:tab w:val="center" w:pos="4536"/>
        <w:tab w:val="right" w:pos="9072"/>
      </w:tabs>
      <w:spacing w:beforeAutospacing="0" w:after="0" w:afterAutospacing="0"/>
    </w:pPr>
  </w:style>
  <w:style w:type="paragraph" w:customStyle="1" w:styleId="Stopkainfo">
    <w:name w:val="Stopka info"/>
    <w:basedOn w:val="Stopka"/>
    <w:pPr>
      <w:tabs>
        <w:tab w:val="clear" w:pos="4536"/>
        <w:tab w:val="clear" w:pos="9072"/>
        <w:tab w:val="left" w:pos="3261"/>
        <w:tab w:val="left" w:pos="6379"/>
      </w:tabs>
      <w:spacing w:before="0" w:line="276" w:lineRule="auto"/>
      <w:jc w:val="left"/>
    </w:pPr>
    <w:rPr>
      <w:color w:val="003D6E"/>
      <w:sz w:val="20"/>
    </w:rPr>
  </w:style>
  <w:style w:type="paragraph" w:customStyle="1" w:styleId="Jednostka">
    <w:name w:val="Jednostka"/>
    <w:basedOn w:val="Normalny"/>
    <w:link w:val="JednostkaZnak"/>
    <w:qFormat/>
    <w:pPr>
      <w:spacing w:before="0" w:beforeAutospacing="0" w:after="0" w:afterAutospacing="0"/>
      <w:jc w:val="left"/>
    </w:pPr>
    <w:rPr>
      <w:color w:val="003D6E"/>
      <w:sz w:val="20"/>
    </w:rPr>
  </w:style>
  <w:style w:type="character" w:styleId="Numerwiersza">
    <w:name w:val="line number"/>
    <w:basedOn w:val="Domylnaczcionkaakapitu"/>
    <w:semiHidden/>
  </w:style>
  <w:style w:type="character" w:styleId="Hipercze">
    <w:name w:val="Hyperlink"/>
    <w:rPr>
      <w:color w:val="0000FF"/>
      <w:u w:val="single"/>
    </w:rPr>
  </w:style>
  <w:style w:type="character" w:customStyle="1" w:styleId="StopkaZnak">
    <w:name w:val="Stopka Znak"/>
    <w:basedOn w:val="Domylnaczcionkaakapitu"/>
    <w:rPr>
      <w:color w:val="000000"/>
      <w:sz w:val="22"/>
    </w:rPr>
  </w:style>
  <w:style w:type="character" w:customStyle="1" w:styleId="StopkastronyZnak">
    <w:name w:val="Stopka strony Znak"/>
    <w:basedOn w:val="StopkaZnak"/>
    <w:rPr>
      <w:color w:val="003D6E"/>
      <w:sz w:val="20"/>
    </w:rPr>
  </w:style>
  <w:style w:type="table" w:styleId="Tabela-Prosty1">
    <w:name w:val="Table Simple 1"/>
    <w:basedOn w:val="Standardowy"/>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agwek">
    <w:name w:val="header"/>
    <w:basedOn w:val="Normalny"/>
    <w:link w:val="NagwekZnak"/>
    <w:uiPriority w:val="99"/>
    <w:unhideWhenUsed/>
    <w:rsid w:val="00EF3EAE"/>
    <w:pPr>
      <w:tabs>
        <w:tab w:val="center" w:pos="4536"/>
        <w:tab w:val="right" w:pos="9072"/>
      </w:tabs>
      <w:spacing w:before="0" w:after="0"/>
    </w:pPr>
  </w:style>
  <w:style w:type="character" w:customStyle="1" w:styleId="NagwekZnak">
    <w:name w:val="Nagłówek Znak"/>
    <w:basedOn w:val="Domylnaczcionkaakapitu"/>
    <w:link w:val="Nagwek"/>
    <w:uiPriority w:val="99"/>
    <w:rsid w:val="00EF3EAE"/>
    <w:rPr>
      <w:rFonts w:ascii="Calibri" w:hAnsi="Calibri"/>
      <w:sz w:val="24"/>
    </w:rPr>
  </w:style>
  <w:style w:type="table" w:styleId="Tabela-Siatka">
    <w:name w:val="Table Grid"/>
    <w:basedOn w:val="Standardowy"/>
    <w:uiPriority w:val="59"/>
    <w:rsid w:val="00F00D7C"/>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xmsonormal">
    <w:name w:val="x_x_x_msonormal"/>
    <w:basedOn w:val="Normalny"/>
    <w:rsid w:val="00286D95"/>
    <w:pPr>
      <w:spacing w:before="0" w:beforeAutospacing="0" w:after="0" w:afterAutospacing="0"/>
      <w:jc w:val="left"/>
    </w:pPr>
    <w:rPr>
      <w:rFonts w:ascii="Times New Roman" w:eastAsiaTheme="minorHAnsi" w:hAnsi="Times New Roman"/>
      <w:color w:val="auto"/>
      <w:szCs w:val="24"/>
    </w:rPr>
  </w:style>
  <w:style w:type="paragraph" w:styleId="NormalnyWeb">
    <w:name w:val="Normal (Web)"/>
    <w:basedOn w:val="Normalny"/>
    <w:uiPriority w:val="99"/>
    <w:unhideWhenUsed/>
    <w:rsid w:val="00E731DE"/>
    <w:pPr>
      <w:jc w:val="left"/>
    </w:pPr>
    <w:rPr>
      <w:rFonts w:ascii="Times New Roman" w:eastAsiaTheme="minorHAnsi" w:hAnsi="Times New Roman"/>
      <w:color w:val="auto"/>
      <w:szCs w:val="24"/>
    </w:rPr>
  </w:style>
  <w:style w:type="character" w:customStyle="1" w:styleId="JednostkaZnak">
    <w:name w:val="Jednostka Znak"/>
    <w:link w:val="Jednostka"/>
    <w:rsid w:val="00CA5BB6"/>
    <w:rPr>
      <w:rFonts w:ascii="Calibri" w:hAnsi="Calibri"/>
      <w:color w:val="003D6E"/>
      <w:sz w:val="20"/>
    </w:rPr>
  </w:style>
  <w:style w:type="paragraph" w:styleId="Tekstdymka">
    <w:name w:val="Balloon Text"/>
    <w:basedOn w:val="Normalny"/>
    <w:link w:val="TekstdymkaZnak"/>
    <w:uiPriority w:val="99"/>
    <w:semiHidden/>
    <w:unhideWhenUsed/>
    <w:rsid w:val="00ED579A"/>
    <w:pPr>
      <w:spacing w:before="0" w:after="0"/>
    </w:pPr>
    <w:rPr>
      <w:rFonts w:ascii="Tahoma" w:hAnsi="Tahoma" w:cs="Tahoma"/>
      <w:sz w:val="16"/>
      <w:szCs w:val="16"/>
    </w:rPr>
  </w:style>
  <w:style w:type="character" w:customStyle="1" w:styleId="TekstdymkaZnak">
    <w:name w:val="Tekst dymka Znak"/>
    <w:basedOn w:val="Domylnaczcionkaakapitu"/>
    <w:link w:val="Tekstdymka"/>
    <w:uiPriority w:val="99"/>
    <w:semiHidden/>
    <w:rsid w:val="00ED57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0656494">
      <w:bodyDiv w:val="1"/>
      <w:marLeft w:val="0"/>
      <w:marRight w:val="0"/>
      <w:marTop w:val="0"/>
      <w:marBottom w:val="0"/>
      <w:divBdr>
        <w:top w:val="none" w:sz="0" w:space="0" w:color="auto"/>
        <w:left w:val="none" w:sz="0" w:space="0" w:color="auto"/>
        <w:bottom w:val="none" w:sz="0" w:space="0" w:color="auto"/>
        <w:right w:val="none" w:sz="0" w:space="0" w:color="auto"/>
      </w:divBdr>
    </w:div>
    <w:div w:id="646279583">
      <w:bodyDiv w:val="1"/>
      <w:marLeft w:val="0"/>
      <w:marRight w:val="0"/>
      <w:marTop w:val="0"/>
      <w:marBottom w:val="0"/>
      <w:divBdr>
        <w:top w:val="none" w:sz="0" w:space="0" w:color="auto"/>
        <w:left w:val="none" w:sz="0" w:space="0" w:color="auto"/>
        <w:bottom w:val="none" w:sz="0" w:space="0" w:color="auto"/>
        <w:right w:val="none" w:sz="0" w:space="0" w:color="auto"/>
      </w:divBdr>
    </w:div>
    <w:div w:id="791510309">
      <w:bodyDiv w:val="1"/>
      <w:marLeft w:val="0"/>
      <w:marRight w:val="0"/>
      <w:marTop w:val="0"/>
      <w:marBottom w:val="0"/>
      <w:divBdr>
        <w:top w:val="none" w:sz="0" w:space="0" w:color="auto"/>
        <w:left w:val="none" w:sz="0" w:space="0" w:color="auto"/>
        <w:bottom w:val="none" w:sz="0" w:space="0" w:color="auto"/>
        <w:right w:val="none" w:sz="0" w:space="0" w:color="auto"/>
      </w:divBdr>
    </w:div>
    <w:div w:id="1101874769">
      <w:bodyDiv w:val="1"/>
      <w:marLeft w:val="0"/>
      <w:marRight w:val="0"/>
      <w:marTop w:val="0"/>
      <w:marBottom w:val="0"/>
      <w:divBdr>
        <w:top w:val="none" w:sz="0" w:space="0" w:color="auto"/>
        <w:left w:val="none" w:sz="0" w:space="0" w:color="auto"/>
        <w:bottom w:val="none" w:sz="0" w:space="0" w:color="auto"/>
        <w:right w:val="none" w:sz="0" w:space="0" w:color="auto"/>
      </w:divBdr>
    </w:div>
    <w:div w:id="1193574113">
      <w:bodyDiv w:val="1"/>
      <w:marLeft w:val="0"/>
      <w:marRight w:val="0"/>
      <w:marTop w:val="0"/>
      <w:marBottom w:val="0"/>
      <w:divBdr>
        <w:top w:val="none" w:sz="0" w:space="0" w:color="auto"/>
        <w:left w:val="none" w:sz="0" w:space="0" w:color="auto"/>
        <w:bottom w:val="none" w:sz="0" w:space="0" w:color="auto"/>
        <w:right w:val="none" w:sz="0" w:space="0" w:color="auto"/>
      </w:divBdr>
    </w:div>
    <w:div w:id="1553925378">
      <w:bodyDiv w:val="1"/>
      <w:marLeft w:val="0"/>
      <w:marRight w:val="0"/>
      <w:marTop w:val="0"/>
      <w:marBottom w:val="0"/>
      <w:divBdr>
        <w:top w:val="none" w:sz="0" w:space="0" w:color="auto"/>
        <w:left w:val="none" w:sz="0" w:space="0" w:color="auto"/>
        <w:bottom w:val="none" w:sz="0" w:space="0" w:color="auto"/>
        <w:right w:val="none" w:sz="0" w:space="0" w:color="auto"/>
      </w:divBdr>
    </w:div>
    <w:div w:id="1607932017">
      <w:bodyDiv w:val="1"/>
      <w:marLeft w:val="0"/>
      <w:marRight w:val="0"/>
      <w:marTop w:val="0"/>
      <w:marBottom w:val="0"/>
      <w:divBdr>
        <w:top w:val="none" w:sz="0" w:space="0" w:color="auto"/>
        <w:left w:val="none" w:sz="0" w:space="0" w:color="auto"/>
        <w:bottom w:val="none" w:sz="0" w:space="0" w:color="auto"/>
        <w:right w:val="none" w:sz="0" w:space="0" w:color="auto"/>
      </w:divBdr>
    </w:div>
    <w:div w:id="1733890837">
      <w:bodyDiv w:val="1"/>
      <w:marLeft w:val="0"/>
      <w:marRight w:val="0"/>
      <w:marTop w:val="0"/>
      <w:marBottom w:val="0"/>
      <w:divBdr>
        <w:top w:val="none" w:sz="0" w:space="0" w:color="auto"/>
        <w:left w:val="none" w:sz="0" w:space="0" w:color="auto"/>
        <w:bottom w:val="none" w:sz="0" w:space="0" w:color="auto"/>
        <w:right w:val="none" w:sz="0" w:space="0" w:color="auto"/>
      </w:divBdr>
      <w:divsChild>
        <w:div w:id="1605768612">
          <w:marLeft w:val="0"/>
          <w:marRight w:val="0"/>
          <w:marTop w:val="0"/>
          <w:marBottom w:val="0"/>
          <w:divBdr>
            <w:top w:val="none" w:sz="0" w:space="0" w:color="auto"/>
            <w:left w:val="none" w:sz="0" w:space="0" w:color="auto"/>
            <w:bottom w:val="single" w:sz="6" w:space="19" w:color="E7E7E7"/>
            <w:right w:val="none" w:sz="0" w:space="0" w:color="auto"/>
          </w:divBdr>
        </w:div>
        <w:div w:id="537015252">
          <w:marLeft w:val="0"/>
          <w:marRight w:val="0"/>
          <w:marTop w:val="566"/>
          <w:marBottom w:val="686"/>
          <w:divBdr>
            <w:top w:val="none" w:sz="0" w:space="0" w:color="auto"/>
            <w:left w:val="none" w:sz="0" w:space="0" w:color="auto"/>
            <w:bottom w:val="none" w:sz="0" w:space="0" w:color="auto"/>
            <w:right w:val="none" w:sz="0" w:space="0" w:color="auto"/>
          </w:divBdr>
          <w:divsChild>
            <w:div w:id="108954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638777">
      <w:bodyDiv w:val="1"/>
      <w:marLeft w:val="0"/>
      <w:marRight w:val="0"/>
      <w:marTop w:val="0"/>
      <w:marBottom w:val="0"/>
      <w:divBdr>
        <w:top w:val="none" w:sz="0" w:space="0" w:color="auto"/>
        <w:left w:val="none" w:sz="0" w:space="0" w:color="auto"/>
        <w:bottom w:val="none" w:sz="0" w:space="0" w:color="auto"/>
        <w:right w:val="none" w:sz="0" w:space="0" w:color="auto"/>
      </w:divBdr>
    </w:div>
    <w:div w:id="1748960209">
      <w:bodyDiv w:val="1"/>
      <w:marLeft w:val="0"/>
      <w:marRight w:val="0"/>
      <w:marTop w:val="0"/>
      <w:marBottom w:val="0"/>
      <w:divBdr>
        <w:top w:val="none" w:sz="0" w:space="0" w:color="auto"/>
        <w:left w:val="none" w:sz="0" w:space="0" w:color="auto"/>
        <w:bottom w:val="none" w:sz="0" w:space="0" w:color="auto"/>
        <w:right w:val="none" w:sz="0" w:space="0" w:color="auto"/>
      </w:divBdr>
      <w:divsChild>
        <w:div w:id="387925495">
          <w:marLeft w:val="0"/>
          <w:marRight w:val="0"/>
          <w:marTop w:val="0"/>
          <w:marBottom w:val="0"/>
          <w:divBdr>
            <w:top w:val="none" w:sz="0" w:space="0" w:color="auto"/>
            <w:left w:val="none" w:sz="0" w:space="0" w:color="auto"/>
            <w:bottom w:val="none" w:sz="0" w:space="0" w:color="auto"/>
            <w:right w:val="none" w:sz="0" w:space="0" w:color="auto"/>
          </w:divBdr>
        </w:div>
        <w:div w:id="400057127">
          <w:marLeft w:val="0"/>
          <w:marRight w:val="0"/>
          <w:marTop w:val="0"/>
          <w:marBottom w:val="0"/>
          <w:divBdr>
            <w:top w:val="none" w:sz="0" w:space="0" w:color="auto"/>
            <w:left w:val="none" w:sz="0" w:space="0" w:color="auto"/>
            <w:bottom w:val="none" w:sz="0" w:space="0" w:color="auto"/>
            <w:right w:val="none" w:sz="0" w:space="0" w:color="auto"/>
          </w:divBdr>
          <w:divsChild>
            <w:div w:id="405684603">
              <w:marLeft w:val="0"/>
              <w:marRight w:val="0"/>
              <w:marTop w:val="0"/>
              <w:marBottom w:val="0"/>
              <w:divBdr>
                <w:top w:val="none" w:sz="0" w:space="0" w:color="auto"/>
                <w:left w:val="none" w:sz="0" w:space="0" w:color="auto"/>
                <w:bottom w:val="none" w:sz="0" w:space="0" w:color="auto"/>
                <w:right w:val="none" w:sz="0" w:space="0" w:color="auto"/>
              </w:divBdr>
              <w:divsChild>
                <w:div w:id="375392534">
                  <w:marLeft w:val="0"/>
                  <w:marRight w:val="0"/>
                  <w:marTop w:val="0"/>
                  <w:marBottom w:val="0"/>
                  <w:divBdr>
                    <w:top w:val="none" w:sz="0" w:space="0" w:color="auto"/>
                    <w:left w:val="none" w:sz="0" w:space="0" w:color="auto"/>
                    <w:bottom w:val="none" w:sz="0" w:space="0" w:color="auto"/>
                    <w:right w:val="none" w:sz="0" w:space="0" w:color="auto"/>
                  </w:divBdr>
                  <w:divsChild>
                    <w:div w:id="781533918">
                      <w:marLeft w:val="0"/>
                      <w:marRight w:val="0"/>
                      <w:marTop w:val="0"/>
                      <w:marBottom w:val="0"/>
                      <w:divBdr>
                        <w:top w:val="none" w:sz="0" w:space="0" w:color="auto"/>
                        <w:left w:val="none" w:sz="0" w:space="0" w:color="auto"/>
                        <w:bottom w:val="single" w:sz="6" w:space="19" w:color="E7E7E7"/>
                        <w:right w:val="none" w:sz="0" w:space="0" w:color="auto"/>
                      </w:divBdr>
                    </w:div>
                    <w:div w:id="1525941183">
                      <w:marLeft w:val="0"/>
                      <w:marRight w:val="0"/>
                      <w:marTop w:val="568"/>
                      <w:marBottom w:val="0"/>
                      <w:divBdr>
                        <w:top w:val="none" w:sz="0" w:space="0" w:color="auto"/>
                        <w:left w:val="none" w:sz="0" w:space="0" w:color="auto"/>
                        <w:bottom w:val="none" w:sz="0" w:space="0" w:color="auto"/>
                        <w:right w:val="none" w:sz="0" w:space="0" w:color="auto"/>
                      </w:divBdr>
                    </w:div>
                    <w:div w:id="1511411351">
                      <w:marLeft w:val="0"/>
                      <w:marRight w:val="0"/>
                      <w:marTop w:val="0"/>
                      <w:marBottom w:val="686"/>
                      <w:divBdr>
                        <w:top w:val="none" w:sz="0" w:space="0" w:color="auto"/>
                        <w:left w:val="none" w:sz="0" w:space="0" w:color="auto"/>
                        <w:bottom w:val="none" w:sz="0" w:space="0" w:color="auto"/>
                        <w:right w:val="none" w:sz="0" w:space="0" w:color="auto"/>
                      </w:divBdr>
                      <w:divsChild>
                        <w:div w:id="1908413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339046">
      <w:bodyDiv w:val="1"/>
      <w:marLeft w:val="0"/>
      <w:marRight w:val="0"/>
      <w:marTop w:val="0"/>
      <w:marBottom w:val="0"/>
      <w:divBdr>
        <w:top w:val="none" w:sz="0" w:space="0" w:color="auto"/>
        <w:left w:val="none" w:sz="0" w:space="0" w:color="auto"/>
        <w:bottom w:val="none" w:sz="0" w:space="0" w:color="auto"/>
        <w:right w:val="none" w:sz="0" w:space="0" w:color="auto"/>
      </w:divBdr>
      <w:divsChild>
        <w:div w:id="772019106">
          <w:marLeft w:val="0"/>
          <w:marRight w:val="0"/>
          <w:marTop w:val="0"/>
          <w:marBottom w:val="225"/>
          <w:divBdr>
            <w:top w:val="none" w:sz="0" w:space="0" w:color="auto"/>
            <w:left w:val="none" w:sz="0" w:space="0" w:color="auto"/>
            <w:bottom w:val="none" w:sz="0" w:space="0" w:color="auto"/>
            <w:right w:val="none" w:sz="0" w:space="0" w:color="auto"/>
          </w:divBdr>
        </w:div>
        <w:div w:id="162208769">
          <w:marLeft w:val="0"/>
          <w:marRight w:val="0"/>
          <w:marTop w:val="0"/>
          <w:marBottom w:val="0"/>
          <w:divBdr>
            <w:top w:val="none" w:sz="0" w:space="0" w:color="auto"/>
            <w:left w:val="none" w:sz="0" w:space="0" w:color="auto"/>
            <w:bottom w:val="none" w:sz="0" w:space="0" w:color="auto"/>
            <w:right w:val="none" w:sz="0" w:space="0" w:color="auto"/>
          </w:divBdr>
          <w:divsChild>
            <w:div w:id="884416743">
              <w:marLeft w:val="0"/>
              <w:marRight w:val="0"/>
              <w:marTop w:val="300"/>
              <w:marBottom w:val="300"/>
              <w:divBdr>
                <w:top w:val="none" w:sz="0" w:space="0" w:color="auto"/>
                <w:left w:val="none" w:sz="0" w:space="0" w:color="auto"/>
                <w:bottom w:val="none" w:sz="0" w:space="0" w:color="auto"/>
                <w:right w:val="none" w:sz="0" w:space="0" w:color="auto"/>
              </w:divBdr>
            </w:div>
            <w:div w:id="1592591923">
              <w:marLeft w:val="0"/>
              <w:marRight w:val="0"/>
              <w:marTop w:val="300"/>
              <w:marBottom w:val="300"/>
              <w:divBdr>
                <w:top w:val="none" w:sz="0" w:space="0" w:color="auto"/>
                <w:left w:val="none" w:sz="0" w:space="0" w:color="auto"/>
                <w:bottom w:val="none" w:sz="0" w:space="0" w:color="auto"/>
                <w:right w:val="none" w:sz="0" w:space="0" w:color="auto"/>
              </w:divBdr>
            </w:div>
            <w:div w:id="1383599863">
              <w:marLeft w:val="0"/>
              <w:marRight w:val="0"/>
              <w:marTop w:val="0"/>
              <w:marBottom w:val="0"/>
              <w:divBdr>
                <w:top w:val="none" w:sz="0" w:space="0" w:color="auto"/>
                <w:left w:val="none" w:sz="0" w:space="0" w:color="auto"/>
                <w:bottom w:val="none" w:sz="0" w:space="0" w:color="auto"/>
                <w:right w:val="none" w:sz="0" w:space="0" w:color="auto"/>
              </w:divBdr>
            </w:div>
            <w:div w:id="1280062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0331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505</Words>
  <Characters>3030</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
    </vt:vector>
  </TitlesOfParts>
  <Company>ZUS</Company>
  <LinksUpToDate>false</LinksUpToDate>
  <CharactersWithSpaces>3528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Nowicka, Marlena</dc:creator>
  <cp:lastModifiedBy>Nowicka, Marlena</cp:lastModifiedBy>
  <cp:revision>5</cp:revision>
  <cp:lastPrinted>2023-04-03T07:00:00Z</cp:lastPrinted>
  <dcterms:created xsi:type="dcterms:W3CDTF">2025-08-20T07:38:00Z</dcterms:created>
  <dcterms:modified xsi:type="dcterms:W3CDTF">2025-08-21T11:47:00Z</dcterms:modified>
</cp:coreProperties>
</file>